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09"/>
        <w:ind w:lef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526750</wp:posOffset>
                </wp:positionH>
                <wp:positionV relativeFrom="page">
                  <wp:posOffset>7288214</wp:posOffset>
                </wp:positionV>
                <wp:extent cx="307975" cy="21221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07975" cy="2122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D8088"/>
                                <w:w w:val="90"/>
                                <w:sz w:val="34"/>
                              </w:rPr>
                              <w:t>LÆSEFAGLIG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D8088"/>
                                <w:spacing w:val="63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D8088"/>
                                <w:spacing w:val="-2"/>
                                <w:w w:val="90"/>
                                <w:sz w:val="34"/>
                              </w:rPr>
                              <w:t>VURDERING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.476398pt;margin-top:573.875122pt;width:24.25pt;height:167.1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Calibri" w:hAnsi="Calibri"/>
                          <w:b/>
                          <w:sz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9D8088"/>
                          <w:w w:val="90"/>
                          <w:sz w:val="34"/>
                        </w:rPr>
                        <w:t>LÆSEFAGLIG</w:t>
                      </w:r>
                      <w:r>
                        <w:rPr>
                          <w:rFonts w:ascii="Calibri" w:hAnsi="Calibri"/>
                          <w:b/>
                          <w:color w:val="9D8088"/>
                          <w:spacing w:val="63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D8088"/>
                          <w:spacing w:val="-2"/>
                          <w:w w:val="90"/>
                          <w:sz w:val="34"/>
                        </w:rPr>
                        <w:t>VURDERING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D8088"/>
          <w:w w:val="90"/>
        </w:rPr>
        <w:t>LÆSEFAGLIG</w:t>
      </w:r>
      <w:r>
        <w:rPr>
          <w:color w:val="9D8088"/>
          <w:spacing w:val="63"/>
        </w:rPr>
        <w:t> </w:t>
      </w:r>
      <w:r>
        <w:rPr>
          <w:color w:val="9D8088"/>
          <w:spacing w:val="-2"/>
        </w:rPr>
        <w:t>VURDERING</w:t>
      </w:r>
    </w:p>
    <w:p>
      <w:pPr>
        <w:pStyle w:val="BodyText"/>
        <w:spacing w:after="1"/>
        <w:rPr>
          <w:rFonts w:ascii="Calibri"/>
          <w:b/>
          <w:sz w:val="17"/>
        </w:rPr>
      </w:pPr>
    </w:p>
    <w:tbl>
      <w:tblPr>
        <w:tblW w:w="0" w:type="auto"/>
        <w:jc w:val="left"/>
        <w:tblInd w:w="43" w:type="dxa"/>
        <w:tblBorders>
          <w:top w:val="single" w:sz="4" w:space="0" w:color="9D8088"/>
          <w:left w:val="single" w:sz="4" w:space="0" w:color="9D8088"/>
          <w:bottom w:val="single" w:sz="4" w:space="0" w:color="9D8088"/>
          <w:right w:val="single" w:sz="4" w:space="0" w:color="9D8088"/>
          <w:insideH w:val="single" w:sz="4" w:space="0" w:color="9D8088"/>
          <w:insideV w:val="single" w:sz="4" w:space="0" w:color="9D80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0"/>
        <w:gridCol w:w="2310"/>
        <w:gridCol w:w="2550"/>
        <w:gridCol w:w="2645"/>
      </w:tblGrid>
      <w:tr>
        <w:trPr>
          <w:trHeight w:val="490" w:hRule="atLeast"/>
        </w:trPr>
        <w:tc>
          <w:tcPr>
            <w:tcW w:w="2010" w:type="dxa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Test</w:t>
            </w:r>
          </w:p>
        </w:tc>
        <w:tc>
          <w:tcPr>
            <w:tcW w:w="7505" w:type="dxa"/>
            <w:gridSpan w:val="3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Score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og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vurdering</w:t>
            </w:r>
          </w:p>
        </w:tc>
      </w:tr>
      <w:tr>
        <w:trPr>
          <w:trHeight w:val="1330" w:hRule="atLeast"/>
        </w:trPr>
        <w:tc>
          <w:tcPr>
            <w:tcW w:w="2010" w:type="dxa"/>
          </w:tcPr>
          <w:p>
            <w:pPr>
              <w:pStyle w:val="TableParagraph"/>
              <w:spacing w:line="225" w:lineRule="auto" w:before="108"/>
              <w:ind w:right="46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Risikotest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 </w:t>
            </w:r>
            <w:r>
              <w:rPr>
                <w:b/>
                <w:color w:val="231F20"/>
                <w:spacing w:val="-2"/>
                <w:sz w:val="22"/>
              </w:rPr>
              <w:t>ordblindhed </w:t>
            </w:r>
            <w:r>
              <w:rPr>
                <w:color w:val="231F20"/>
                <w:w w:val="90"/>
                <w:sz w:val="22"/>
              </w:rPr>
              <w:t>Slutningen</w:t>
            </w:r>
            <w:r>
              <w:rPr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af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1. </w:t>
            </w:r>
            <w:r>
              <w:rPr>
                <w:color w:val="231F20"/>
                <w:spacing w:val="-2"/>
                <w:sz w:val="22"/>
              </w:rPr>
              <w:t>klasse</w:t>
            </w:r>
          </w:p>
        </w:tc>
        <w:tc>
          <w:tcPr>
            <w:tcW w:w="2310" w:type="dxa"/>
          </w:tcPr>
          <w:p>
            <w:pPr>
              <w:pStyle w:val="TableParagraph"/>
              <w:spacing w:line="288" w:lineRule="exact" w:before="94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Rigtigt</w:t>
            </w:r>
            <w:r>
              <w:rPr>
                <w:b/>
                <w:color w:val="231F20"/>
                <w:spacing w:val="2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læste</w:t>
            </w:r>
          </w:p>
          <w:p>
            <w:pPr>
              <w:pStyle w:val="TableParagraph"/>
              <w:spacing w:line="288" w:lineRule="exact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Rigtige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ord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pr.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minut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auto" w:before="108"/>
              <w:ind w:right="40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Rigtigt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læste </w:t>
            </w:r>
            <w:r>
              <w:rPr>
                <w:b/>
                <w:color w:val="231F20"/>
                <w:spacing w:val="-12"/>
                <w:sz w:val="22"/>
              </w:rPr>
              <w:t>Nonord</w:t>
            </w:r>
            <w:r>
              <w:rPr>
                <w:b/>
                <w:color w:val="231F20"/>
                <w:spacing w:val="-8"/>
                <w:sz w:val="22"/>
              </w:rPr>
              <w:t> </w:t>
            </w:r>
            <w:r>
              <w:rPr>
                <w:b/>
                <w:color w:val="231F20"/>
                <w:spacing w:val="-12"/>
                <w:sz w:val="22"/>
              </w:rPr>
              <w:t>pr.</w:t>
            </w:r>
            <w:r>
              <w:rPr>
                <w:b/>
                <w:color w:val="231F20"/>
                <w:spacing w:val="-8"/>
                <w:sz w:val="22"/>
              </w:rPr>
              <w:t> </w:t>
            </w:r>
            <w:r>
              <w:rPr>
                <w:b/>
                <w:color w:val="231F20"/>
                <w:spacing w:val="-12"/>
                <w:sz w:val="22"/>
              </w:rPr>
              <w:t>minut</w:t>
            </w:r>
          </w:p>
        </w:tc>
        <w:tc>
          <w:tcPr>
            <w:tcW w:w="2645" w:type="dxa"/>
          </w:tcPr>
          <w:p>
            <w:pPr>
              <w:pStyle w:val="TableParagraph"/>
              <w:spacing w:line="225" w:lineRule="auto" w:before="108"/>
              <w:ind w:right="176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Samlet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resultat</w:t>
            </w:r>
          </w:p>
        </w:tc>
      </w:tr>
      <w:tr>
        <w:trPr>
          <w:trHeight w:val="1890" w:hRule="atLeast"/>
        </w:trPr>
        <w:tc>
          <w:tcPr>
            <w:tcW w:w="2010" w:type="dxa"/>
          </w:tcPr>
          <w:p>
            <w:pPr>
              <w:pStyle w:val="TableParagraph"/>
              <w:spacing w:line="288" w:lineRule="exact"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Stavning</w:t>
            </w:r>
          </w:p>
          <w:p>
            <w:pPr>
              <w:pStyle w:val="TableParagraph"/>
              <w:spacing w:line="288" w:lineRule="exac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3.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klasse</w:t>
            </w:r>
          </w:p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25" w:lineRule="auto"/>
              <w:ind w:right="652"/>
              <w:jc w:val="both"/>
              <w:rPr>
                <w:sz w:val="22"/>
              </w:rPr>
            </w:pPr>
            <w:r>
              <w:rPr>
                <w:color w:val="231F20"/>
                <w:spacing w:val="-8"/>
                <w:sz w:val="22"/>
              </w:rPr>
              <w:t>Vurdering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af </w:t>
            </w:r>
            <w:r>
              <w:rPr>
                <w:color w:val="231F20"/>
                <w:spacing w:val="-2"/>
                <w:w w:val="85"/>
                <w:sz w:val="22"/>
              </w:rPr>
              <w:t>lydbevarende </w:t>
            </w:r>
            <w:r>
              <w:rPr>
                <w:color w:val="231F20"/>
                <w:spacing w:val="-2"/>
                <w:sz w:val="22"/>
              </w:rPr>
              <w:t>stavning</w:t>
            </w:r>
          </w:p>
        </w:tc>
        <w:tc>
          <w:tcPr>
            <w:tcW w:w="750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2010" w:type="dxa"/>
          </w:tcPr>
          <w:p>
            <w:pPr>
              <w:pStyle w:val="TableParagraph"/>
              <w:spacing w:line="288" w:lineRule="exact"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DVO</w:t>
            </w:r>
          </w:p>
          <w:p>
            <w:pPr>
              <w:pStyle w:val="TableParagraph"/>
              <w:spacing w:line="288" w:lineRule="exac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2.-3.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klasse</w:t>
            </w:r>
          </w:p>
        </w:tc>
        <w:tc>
          <w:tcPr>
            <w:tcW w:w="2310" w:type="dxa"/>
          </w:tcPr>
          <w:p>
            <w:pPr>
              <w:pStyle w:val="TableParagraph"/>
              <w:spacing w:before="94"/>
              <w:ind w:left="169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Nonordstavning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auto" w:before="108"/>
              <w:ind w:left="169" w:right="402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Højtlæsning</w:t>
            </w:r>
            <w:r>
              <w:rPr>
                <w:b/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af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rigtige </w:t>
            </w:r>
            <w:r>
              <w:rPr>
                <w:b/>
                <w:color w:val="231F20"/>
                <w:spacing w:val="-4"/>
                <w:sz w:val="22"/>
              </w:rPr>
              <w:t>ord</w:t>
            </w:r>
          </w:p>
        </w:tc>
        <w:tc>
          <w:tcPr>
            <w:tcW w:w="2645" w:type="dxa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Højtlæsning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af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nonord</w:t>
            </w:r>
          </w:p>
        </w:tc>
      </w:tr>
      <w:tr>
        <w:trPr>
          <w:trHeight w:val="1050" w:hRule="atLeast"/>
        </w:trPr>
        <w:tc>
          <w:tcPr>
            <w:tcW w:w="2010" w:type="dxa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Vurdering</w:t>
            </w:r>
          </w:p>
        </w:tc>
        <w:tc>
          <w:tcPr>
            <w:tcW w:w="23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6"/>
        <w:rPr>
          <w:rFonts w:ascii="Calibri"/>
          <w:b/>
        </w:rPr>
      </w:pPr>
    </w:p>
    <w:tbl>
      <w:tblPr>
        <w:tblW w:w="0" w:type="auto"/>
        <w:jc w:val="left"/>
        <w:tblInd w:w="43" w:type="dxa"/>
        <w:tblBorders>
          <w:top w:val="single" w:sz="4" w:space="0" w:color="9D8088"/>
          <w:left w:val="single" w:sz="4" w:space="0" w:color="9D8088"/>
          <w:bottom w:val="single" w:sz="4" w:space="0" w:color="9D8088"/>
          <w:right w:val="single" w:sz="4" w:space="0" w:color="9D8088"/>
          <w:insideH w:val="single" w:sz="4" w:space="0" w:color="9D8088"/>
          <w:insideV w:val="single" w:sz="4" w:space="0" w:color="9D80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7516"/>
      </w:tblGrid>
      <w:tr>
        <w:trPr>
          <w:trHeight w:val="790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Læseevaluering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3.</w:t>
            </w:r>
            <w:r>
              <w:rPr>
                <w:b/>
                <w:color w:val="231F20"/>
                <w:spacing w:val="-8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klasse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Lixtal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Ord</w:t>
            </w:r>
            <w:r>
              <w:rPr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pr.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minut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Læsestrategier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Usikkerhed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Vurdering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Tekstforståelse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998" w:type="dxa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color w:val="231F20"/>
                <w:spacing w:val="-2"/>
                <w:w w:val="90"/>
                <w:sz w:val="22"/>
              </w:rPr>
              <w:t>Andet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relevant</w:t>
            </w:r>
          </w:p>
        </w:tc>
        <w:tc>
          <w:tcPr>
            <w:tcW w:w="75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21"/>
        <w:ind w:left="2110"/>
      </w:pPr>
      <w:r>
        <w:rPr>
          <w:color w:val="231F20"/>
          <w:w w:val="90"/>
        </w:rPr>
        <w:t>Kopiside,</w:t>
      </w:r>
      <w:r>
        <w:rPr>
          <w:color w:val="231F20"/>
          <w:spacing w:val="-4"/>
          <w:w w:val="90"/>
        </w:rPr>
        <w:t> </w:t>
      </w:r>
      <w:r>
        <w:rPr>
          <w:i/>
          <w:color w:val="231F20"/>
          <w:w w:val="90"/>
        </w:rPr>
        <w:t>Mestringsvejen</w:t>
      </w:r>
      <w:r>
        <w:rPr>
          <w:i/>
          <w:color w:val="231F20"/>
          <w:spacing w:val="-4"/>
          <w:w w:val="90"/>
        </w:rPr>
        <w:t> </w:t>
      </w:r>
      <w:r>
        <w:rPr>
          <w:color w:val="231F20"/>
          <w:w w:val="90"/>
        </w:rPr>
        <w:t>©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Dansk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Psykologisk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Forlag,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M.B.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Laursen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M.A.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Midtgaard,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2025.</w:t>
      </w:r>
    </w:p>
    <w:sectPr>
      <w:type w:val="continuous"/>
      <w:pgSz w:w="11910" w:h="16840"/>
      <w:pgMar w:top="106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Palatino Linotype" w:hAnsi="Palatino Linotype" w:eastAsia="Palatino Linotype" w:cs="Palatino Linotype"/>
      <w:sz w:val="20"/>
      <w:szCs w:val="20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20"/>
      <w:outlineLvl w:val="1"/>
    </w:pPr>
    <w:rPr>
      <w:rFonts w:ascii="Calibri" w:hAnsi="Calibri" w:eastAsia="Calibri" w:cs="Calibri"/>
      <w:b/>
      <w:bCs/>
      <w:sz w:val="34"/>
      <w:szCs w:val="34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Palatino Linotype" w:hAnsi="Palatino Linotype" w:eastAsia="Palatino Linotype" w:cs="Palatino Linotype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2025-06-03T08:30:34Z</dcterms:created>
  <dcterms:modified xsi:type="dcterms:W3CDTF">2025-06-03T08:30:34Z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2025-06-03T00:00:00Z</vt:filetime>
  </property>
</Properties>
</file>